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745-3_4seq1.xml.htm"/>
      <w:bookmarkStart w:id="1" w:name="kstm2617745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LINDSTROM RICHARD L MD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260,933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the reporting person was granted restricted stock units ("RSUs") under the 2021 Stock Incentive Plan, as amended, of Ocular Therapeutix, Inc. (the "Company"). Each RSU represents a right to receive one share of the Company's common stock. Subject to the reporting person's continued service on the Company's board of directors, the RSUs will vest with respect to 100% of the shares underlying the RSUs on the first anniversary of the grant date or, if earlier, immediately prior to the next annual meeting of stockholders occurring after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continued service on the Company's board of directors, the options will vest with respect to 100% of the shares underlying the options on the first anniversary of the grant date or, if earlier, immediately prior to the next annual meeting of stockholders occurring after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 Attorney-in-Fact for Richard L. Lindstrom, M.D.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2177"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3928</Characters>
  <CharactersWithSpaces>4591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