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739d1_s8.htm"/>
      <w:bookmarkStart w:id="1" w:name="kstm2621739d1_s8"/>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Securities and Exchange Commission on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333-_____</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OCULAR THERAPEUTIX,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3620"/>
        <w:gridCol w:w="1535"/>
      </w:tblGrid>
      <w:tr>
        <w:trPr/>
        <w:tc>
          <w:tcPr>
            <w:tcW w:w="36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20-5560161</w:t>
            </w:r>
          </w:p>
        </w:tc>
      </w:tr>
      <w:tr>
        <w:trPr/>
        <w:tc>
          <w:tcPr>
            <w:tcW w:w="3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Incorporation </w:t>
              <w:br/>
              <w:t>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r>
        <w:trPr/>
        <w:tc>
          <w:tcPr>
            <w:tcW w:w="36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Crosby Drive, 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Bedford, MA</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01730</w:t>
            </w:r>
          </w:p>
        </w:tc>
      </w:tr>
      <w:tr>
        <w:trPr/>
        <w:tc>
          <w:tcPr>
            <w:tcW w:w="3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2021 Stock Incentive Plan, as amended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Pravin U. Dugel, M.D.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Executive Chairman, President and Chief Executive Officer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Ocular Therapeutix,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Crosby Drive, 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Floor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Bedford, MA 01730</w:t>
        <w:br/>
      </w: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(781) 357-4000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835"/>
        <w:gridCol w:w="230"/>
        <w:gridCol w:w="230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Registration Statement on Form S-8, relating to 10,000,000 shares of the common stock, $0.0001 par value per share, issuable under the 2021 Stock Incentive Plan, as amended (the “2021 Plan”), of Ocular Therapeutix, Inc. (the “Registrant”), is being filed with the Securities and Exchange Commission (the “SEC”) for the purpose of registering additional securities of the same class as other securities for which a Registration Statement on Form S-8 has previously been filed and is effective. Accordingly, this Registration Statement incorporates by reference the contents of (i) the Registration Statement on </w:t>
      </w:r>
      <w:hyperlink r:id="rId2">
        <w:r>
          <w:rPr>
            <w:rStyle w:val="InternetLink"/>
            <w:rFonts w:ascii="Times New Roman;Times;Serif" w:hAnsi="Times New Roman;Times;Serif"/>
            <w:b w:val="false"/>
            <w:i w:val="false"/>
            <w:caps w:val="false"/>
            <w:smallCaps w:val="false"/>
            <w:sz w:val="20"/>
          </w:rPr>
          <w:t>Form S-8 (File No. 333-258642) filed with the SEC on August 9, 2021</w:t>
        </w:r>
      </w:hyperlink>
      <w:r>
        <w:rPr>
          <w:rFonts w:ascii="Times New Roman;Times;Serif" w:hAnsi="Times New Roman;Times;Serif"/>
          <w:b w:val="false"/>
          <w:i w:val="false"/>
          <w:caps w:val="false"/>
          <w:smallCaps w:val="false"/>
          <w:sz w:val="20"/>
        </w:rPr>
        <w:t xml:space="preserve">, by the Registrant relating to the 2021 Plan; (ii) the Registration Statement on </w:t>
      </w:r>
      <w:hyperlink r:id="rId3">
        <w:r>
          <w:rPr>
            <w:rStyle w:val="InternetLink"/>
            <w:rFonts w:ascii="Times New Roman;Times;Serif" w:hAnsi="Times New Roman;Times;Serif"/>
            <w:b w:val="false"/>
            <w:i w:val="false"/>
            <w:caps w:val="false"/>
            <w:smallCaps w:val="false"/>
            <w:sz w:val="20"/>
          </w:rPr>
          <w:t>Form S-8 (File No. 333-266648) filed with the SEC on August 8, 2022</w:t>
        </w:r>
      </w:hyperlink>
      <w:r>
        <w:rPr>
          <w:rFonts w:ascii="Times New Roman;Times;Serif" w:hAnsi="Times New Roman;Times;Serif"/>
          <w:b w:val="false"/>
          <w:i w:val="false"/>
          <w:caps w:val="false"/>
          <w:smallCaps w:val="false"/>
          <w:sz w:val="20"/>
        </w:rPr>
        <w:t xml:space="preserve">, by the Registrant relating to the 2021 Plan; (iii) the Registration Statement on </w:t>
      </w:r>
      <w:hyperlink r:id="rId4">
        <w:r>
          <w:rPr>
            <w:rStyle w:val="InternetLink"/>
            <w:rFonts w:ascii="Times New Roman;Times;Serif" w:hAnsi="Times New Roman;Times;Serif"/>
            <w:b w:val="false"/>
            <w:i w:val="false"/>
            <w:caps w:val="false"/>
            <w:smallCaps w:val="false"/>
            <w:sz w:val="20"/>
          </w:rPr>
          <w:t>Form S-8 (File No. 333-273770) filed with the SEC on August 7, 2023</w:t>
        </w:r>
      </w:hyperlink>
      <w:r>
        <w:rPr>
          <w:rFonts w:ascii="Times New Roman;Times;Serif" w:hAnsi="Times New Roman;Times;Serif"/>
          <w:b w:val="false"/>
          <w:i w:val="false"/>
          <w:caps w:val="false"/>
          <w:smallCaps w:val="false"/>
          <w:sz w:val="20"/>
        </w:rPr>
        <w:t>, by the Registrant relating to the 2021 Plan; (iv) the Registration Statement on </w:t>
      </w:r>
      <w:hyperlink r:id="rId5">
        <w:r>
          <w:rPr>
            <w:rStyle w:val="InternetLink"/>
            <w:rFonts w:ascii="Times New Roman;Times;Serif" w:hAnsi="Times New Roman;Times;Serif"/>
            <w:b w:val="false"/>
            <w:i w:val="false"/>
            <w:caps w:val="false"/>
            <w:smallCaps w:val="false"/>
            <w:color w:val="0000FF"/>
            <w:sz w:val="20"/>
          </w:rPr>
          <w:t>Form S-8 (File No. 333-280266) filed with the SEC on June 17, 2024</w:t>
        </w:r>
      </w:hyperlink>
      <w:r>
        <w:rPr>
          <w:rFonts w:ascii="Times New Roman;Times;Serif" w:hAnsi="Times New Roman;Times;Serif"/>
          <w:b w:val="false"/>
          <w:i w:val="false"/>
          <w:caps w:val="false"/>
          <w:smallCaps w:val="false"/>
          <w:sz w:val="20"/>
        </w:rPr>
        <w:t>, by the Registrant relating to the 2021 Plan; and (v) the Registration Statement on </w:t>
      </w:r>
      <w:hyperlink r:id="rId6">
        <w:r>
          <w:rPr>
            <w:rStyle w:val="InternetLink"/>
            <w:rFonts w:ascii="Times New Roman;Times;Serif" w:hAnsi="Times New Roman;Times;Serif"/>
            <w:b w:val="false"/>
            <w:i w:val="false"/>
            <w:caps w:val="false"/>
            <w:smallCaps w:val="false"/>
            <w:color w:val="0000FF"/>
            <w:sz w:val="20"/>
          </w:rPr>
          <w:t>Form S-8 (File No. 333-287948) filed with the SEC on June 11, 2025</w:t>
        </w:r>
      </w:hyperlink>
      <w:r>
        <w:rPr>
          <w:rFonts w:ascii="Times New Roman;Times;Serif" w:hAnsi="Times New Roman;Times;Serif"/>
          <w:b w:val="false"/>
          <w:i w:val="false"/>
          <w:caps w:val="false"/>
          <w:smallCaps w:val="false"/>
          <w:sz w:val="20"/>
        </w:rPr>
        <w:t>, by the Registrant relating to the 2021 Plan and the Registrant’s Amended and Restated 2014 Employee Stock Purchase Plan, in each case, except to the extent amended or superseded by the contents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9525"/>
      </w:tblGrid>
      <w:tr>
        <w:trPr/>
        <w:tc>
          <w:tcPr>
            <w:tcW w:w="6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Number</w:t>
            </w:r>
          </w:p>
        </w:tc>
        <w:tc>
          <w:tcPr>
            <w:tcW w:w="95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4.1(1)</w:t>
              </w:r>
            </w:hyperlink>
          </w:p>
        </w:tc>
        <w:tc>
          <w:tcPr>
            <w:tcW w:w="9525"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Restated Certificate of Incorporation of the Registrant, as amended</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4.2(2)</w:t>
              </w:r>
            </w:hyperlink>
          </w:p>
        </w:tc>
        <w:tc>
          <w:tcPr>
            <w:tcW w:w="9525"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Amended and Restated By-laws of the Registrant</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4.3(3)</w:t>
              </w:r>
            </w:hyperlink>
          </w:p>
        </w:tc>
        <w:tc>
          <w:tcPr>
            <w:tcW w:w="952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Registration Rights Agreement, dated as of February 21, 2024, by and among the Registrant and the other parties thereto</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tm2621739d1_ex5-1.htm">
              <w:r>
                <w:rPr>
                  <w:rStyle w:val="InternetLink"/>
                  <w:rFonts w:ascii="Times New Roman;Times;Serif" w:hAnsi="Times New Roman;Times;Serif"/>
                  <w:sz w:val="20"/>
                </w:rPr>
                <w:t>5.1</w:t>
              </w:r>
            </w:hyperlink>
          </w:p>
        </w:tc>
        <w:tc>
          <w:tcPr>
            <w:tcW w:w="9525" w:type="dxa"/>
            <w:tcBorders/>
            <w:vAlign w:val="center"/>
          </w:tcPr>
          <w:p>
            <w:pPr>
              <w:pStyle w:val="TableContents"/>
              <w:bidi w:val="0"/>
              <w:spacing w:before="0" w:after="283"/>
              <w:jc w:val="left"/>
              <w:rPr/>
            </w:pPr>
            <w:hyperlink w:anchor="tm2621739d1_ex5-1.htm">
              <w:r>
                <w:rPr>
                  <w:rStyle w:val="InternetLink"/>
                  <w:rFonts w:ascii="Times New Roman;Times;Serif" w:hAnsi="Times New Roman;Times;Serif"/>
                  <w:sz w:val="20"/>
                </w:rPr>
                <w:t>Opinion of Wilmer Cutler Pickering Hale and Dorr LLP</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tm2621739d1_ex5-1.htm">
              <w:r>
                <w:rPr>
                  <w:rStyle w:val="InternetLink"/>
                  <w:rFonts w:ascii="Times New Roman;Times;Serif" w:hAnsi="Times New Roman;Times;Serif"/>
                  <w:sz w:val="20"/>
                </w:rPr>
                <w:t>23.1</w:t>
              </w:r>
            </w:hyperlink>
          </w:p>
        </w:tc>
        <w:tc>
          <w:tcPr>
            <w:tcW w:w="9525" w:type="dxa"/>
            <w:tcBorders/>
            <w:vAlign w:val="center"/>
          </w:tcPr>
          <w:p>
            <w:pPr>
              <w:pStyle w:val="TableContents"/>
              <w:bidi w:val="0"/>
              <w:spacing w:before="0" w:after="283"/>
              <w:jc w:val="left"/>
              <w:rPr/>
            </w:pPr>
            <w:hyperlink w:anchor="tm2621739d1_ex5-1.htm">
              <w:r>
                <w:rPr>
                  <w:rStyle w:val="InternetLink"/>
                  <w:rFonts w:ascii="Times New Roman;Times;Serif" w:hAnsi="Times New Roman;Times;Serif"/>
                  <w:sz w:val="20"/>
                </w:rPr>
                <w:t>Consent of Wilmer Cutler Pickering Hale and Dorr LLP (included in Exhibit 5.1)</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tm2621739d1_ex23-2.htm">
              <w:r>
                <w:rPr>
                  <w:rStyle w:val="InternetLink"/>
                  <w:rFonts w:ascii="Times New Roman;Times;Serif" w:hAnsi="Times New Roman;Times;Serif"/>
                  <w:sz w:val="20"/>
                </w:rPr>
                <w:t>23.2</w:t>
              </w:r>
            </w:hyperlink>
          </w:p>
        </w:tc>
        <w:tc>
          <w:tcPr>
            <w:tcW w:w="9525" w:type="dxa"/>
            <w:tcBorders/>
            <w:vAlign w:val="center"/>
          </w:tcPr>
          <w:p>
            <w:pPr>
              <w:pStyle w:val="TableContents"/>
              <w:bidi w:val="0"/>
              <w:spacing w:before="0" w:after="283"/>
              <w:jc w:val="left"/>
              <w:rPr/>
            </w:pPr>
            <w:hyperlink w:anchor="tm2621739d1_ex23-2.htm">
              <w:r>
                <w:rPr>
                  <w:rStyle w:val="InternetLink"/>
                  <w:rFonts w:ascii="Times New Roman;Times;Serif" w:hAnsi="Times New Roman;Times;Serif"/>
                  <w:sz w:val="20"/>
                </w:rPr>
                <w:t>Consent of PricewaterhouseCoopers LLP, Independent Registered Public Accounting Firm</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952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99.1(4)</w:t>
              </w:r>
            </w:hyperlink>
          </w:p>
        </w:tc>
        <w:tc>
          <w:tcPr>
            <w:tcW w:w="952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2021 Stock Incentive Plan, as amended</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w:anchor="tm2621739d1_ex-filingfees.htm">
              <w:r>
                <w:rPr>
                  <w:rStyle w:val="InternetLink"/>
                  <w:rFonts w:ascii="Times New Roman;Times;Serif" w:hAnsi="Times New Roman;Times;Serif"/>
                  <w:sz w:val="20"/>
                </w:rPr>
                <w:t>107</w:t>
              </w:r>
            </w:hyperlink>
          </w:p>
        </w:tc>
        <w:tc>
          <w:tcPr>
            <w:tcW w:w="9525" w:type="dxa"/>
            <w:tcBorders/>
            <w:vAlign w:val="center"/>
          </w:tcPr>
          <w:p>
            <w:pPr>
              <w:pStyle w:val="TableContents"/>
              <w:bidi w:val="0"/>
              <w:spacing w:before="0" w:after="283"/>
              <w:jc w:val="left"/>
              <w:rPr/>
            </w:pPr>
            <w:hyperlink w:anchor="tm2621739d1_ex-filingfees.htm">
              <w:r>
                <w:rPr>
                  <w:rStyle w:val="InternetLink"/>
                  <w:rFonts w:ascii="Times New Roman;Times;Serif" w:hAnsi="Times New Roman;Times;Serif"/>
                  <w:sz w:val="20"/>
                </w:rPr>
                <w:t>Filing Fee Table</w:t>
              </w:r>
            </w:hyperlink>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283"/>
              <w:jc w:val="left"/>
              <w:rPr/>
            </w:pPr>
            <w:r>
              <w:rPr/>
              <w:t>Previously filed with the Securities and Exchange Commission on November 4, 2025, as Exhibit 3.1 to the Registrant’s Quarterly Report on Form 10-Q (File No. 001-36554)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283"/>
              <w:jc w:val="left"/>
              <w:rPr/>
            </w:pPr>
            <w:r>
              <w:rPr/>
              <w:t>Previously filed with the Securities and Exchange Commission on July 30, 2014, as Exhibit 3.2 to the Registrant’s Current Report on Form 8-K (File No. 001-36554)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283"/>
              <w:jc w:val="left"/>
              <w:rPr/>
            </w:pPr>
            <w:r>
              <w:rPr/>
              <w:t>Previously filed with the Securities and Exchange Commission on February 22, 2024, as Exhibit 10.2 to the Registrant’s Current Report on Form 8-K (File No. 001-36554)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283"/>
              <w:jc w:val="left"/>
              <w:rPr/>
            </w:pPr>
            <w:r>
              <w:rPr/>
              <w:t>Previously filed with the Securities and Exchange Commission on August 3, 2026, as Exhibit 10.1 to the Registrant’s Quarterly Report on Form 10-Q (File No. 001-36554)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Bedford, Massachusetts, on this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380"/>
        <w:gridCol w:w="4835"/>
        <w:gridCol w:w="75"/>
      </w:tblGrid>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OCULAR THERAPEUTIX, INC.</w:t>
            </w:r>
          </w:p>
        </w:tc>
        <w:tc>
          <w:tcPr>
            <w:tcW w:w="75" w:type="dxa"/>
            <w:tcBorders/>
            <w:vAlign w:val="center"/>
          </w:tcPr>
          <w:p>
            <w:pPr>
              <w:pStyle w:val="TableContents"/>
              <w:bidi w:val="0"/>
              <w:spacing w:before="0" w:after="283"/>
              <w:jc w:val="left"/>
              <w:rPr/>
            </w:pPr>
            <w:r>
              <w:rPr/>
              <w:t> </w:t>
            </w:r>
          </w:p>
        </w:tc>
      </w:tr>
      <w:tr>
        <w:trPr/>
        <w:tc>
          <w:tcPr>
            <w:tcW w:w="52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Pravin U. Dugel, M.D.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Pravin U. Dugel, M.D.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Ocular Therapeutix, Inc., hereby severally constitute and appoint Pravin U. Dugel, M.D., Jason S. Robins and Todd Anderman,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Ocular Therapeutix,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5"/>
        <w:gridCol w:w="60"/>
        <w:gridCol w:w="6882"/>
        <w:gridCol w:w="60"/>
        <w:gridCol w:w="1148"/>
      </w:tblGrid>
      <w:tr>
        <w:trPr/>
        <w:tc>
          <w:tcPr>
            <w:tcW w:w="20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Signature</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Date</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Pravin U. Dugel, M.D.</w:t>
            </w:r>
          </w:p>
        </w:tc>
        <w:tc>
          <w:tcPr>
            <w:tcW w:w="60" w:type="dxa"/>
            <w:tcBorders/>
            <w:vAlign w:val="center"/>
          </w:tcPr>
          <w:p>
            <w:pPr>
              <w:pStyle w:val="TableContents"/>
              <w:bidi w:val="0"/>
              <w:spacing w:before="0" w:after="283"/>
              <w:jc w:val="left"/>
              <w:rPr/>
            </w:pPr>
            <w:r>
              <w:rPr/>
              <w:t> </w:t>
            </w:r>
          </w:p>
        </w:tc>
        <w:tc>
          <w:tcPr>
            <w:tcW w:w="6882" w:type="dxa"/>
            <w:vMerge w:val="restart"/>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 President and Chief Executive Officer (Principal Executive Officer)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Pravin U. Dugel, M.D. </w:t>
            </w:r>
          </w:p>
        </w:tc>
        <w:tc>
          <w:tcPr>
            <w:tcW w:w="60" w:type="dxa"/>
            <w:tcBorders/>
            <w:vAlign w:val="center"/>
          </w:tcPr>
          <w:p>
            <w:pPr>
              <w:pStyle w:val="TableContents"/>
              <w:bidi w:val="0"/>
              <w:spacing w:before="0" w:after="283"/>
              <w:jc w:val="left"/>
              <w:rPr/>
            </w:pPr>
            <w:r>
              <w:rPr/>
              <w:t> </w:t>
            </w:r>
          </w:p>
        </w:tc>
        <w:tc>
          <w:tcPr>
            <w:tcW w:w="688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8" w:type="dxa"/>
            <w:vMerge w:val="restart"/>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vMerge w:val="continue"/>
            <w:tcBorders/>
            <w:vAlign w:val="center"/>
          </w:tcPr>
          <w:p>
            <w:pPr>
              <w:pStyle w:val="Normal"/>
              <w:bidi w:val="0"/>
              <w:jc w:val="left"/>
              <w:rPr/>
            </w:pPr>
            <w:r>
              <w:rPr/>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S. Robins</w:t>
            </w:r>
          </w:p>
        </w:tc>
        <w:tc>
          <w:tcPr>
            <w:tcW w:w="60" w:type="dxa"/>
            <w:tcBorders/>
            <w:vAlign w:val="center"/>
          </w:tcPr>
          <w:p>
            <w:pPr>
              <w:pStyle w:val="TableContents"/>
              <w:bidi w:val="0"/>
              <w:spacing w:before="0" w:after="283"/>
              <w:jc w:val="left"/>
              <w:rPr/>
            </w:pPr>
            <w:r>
              <w:rPr/>
              <w:t> </w:t>
            </w:r>
          </w:p>
        </w:tc>
        <w:tc>
          <w:tcPr>
            <w:tcW w:w="6882" w:type="dxa"/>
            <w:vMerge w:val="restart"/>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(Principal Financial and Accounting Officer)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S. Robins</w:t>
            </w:r>
          </w:p>
        </w:tc>
        <w:tc>
          <w:tcPr>
            <w:tcW w:w="60" w:type="dxa"/>
            <w:tcBorders/>
            <w:vAlign w:val="center"/>
          </w:tcPr>
          <w:p>
            <w:pPr>
              <w:pStyle w:val="TableContents"/>
              <w:bidi w:val="0"/>
              <w:spacing w:before="0" w:after="283"/>
              <w:jc w:val="left"/>
              <w:rPr/>
            </w:pPr>
            <w:r>
              <w:rPr/>
              <w:t> </w:t>
            </w:r>
          </w:p>
        </w:tc>
        <w:tc>
          <w:tcPr>
            <w:tcW w:w="688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Adrienne Graves, Ph.D.</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Adrienne Graves, Ph.D.</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Seung Suh Hong, Ph.D.</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Seung Suh Hong, Ph.D.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L. Lindstrom, M.D.</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L. Lindstrom, M.D.</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Merilee Raines</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Merilee Raines</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Warden</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Warden</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r>
        <w:trPr/>
        <w:tc>
          <w:tcPr>
            <w:tcW w:w="2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Leslie Williams </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2026</w:t>
            </w:r>
          </w:p>
        </w:tc>
      </w:tr>
      <w:tr>
        <w:trPr/>
        <w:tc>
          <w:tcPr>
            <w:tcW w:w="2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Williams</w:t>
            </w:r>
          </w:p>
        </w:tc>
        <w:tc>
          <w:tcPr>
            <w:tcW w:w="60" w:type="dxa"/>
            <w:tcBorders/>
            <w:vAlign w:val="center"/>
          </w:tcPr>
          <w:p>
            <w:pPr>
              <w:pStyle w:val="TableContents"/>
              <w:bidi w:val="0"/>
              <w:spacing w:before="0" w:after="283"/>
              <w:jc w:val="left"/>
              <w:rPr/>
            </w:pPr>
            <w:r>
              <w:rPr/>
              <w:t> </w:t>
            </w:r>
          </w:p>
        </w:tc>
        <w:tc>
          <w:tcPr>
            <w:tcW w:w="6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1739d1_ex5-1.htm"/>
      <w:bookmarkStart w:id="4" w:name="kstm2621739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jc w:val="right"/>
        <w:rPr/>
      </w:pPr>
      <w:r>
        <w:rPr/>
        <w:drawing>
          <wp:inline distT="0" distB="0" distL="0" distR="0">
            <wp:extent cx="13239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323975" cy="3429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+ 1 617 526 6000 (t)</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+ 1 617 526 5000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 Therapeutix, Inc.</w:t>
        <w:br/>
        <w:t>14 Crosby Drive,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w:t>
        <w:br/>
        <w:t>Bedford, MA 01730</w:t>
      </w:r>
    </w:p>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35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755" w:type="dxa"/>
            <w:tcBorders/>
            <w:vAlign w:val="center"/>
          </w:tcPr>
          <w:p>
            <w:pPr>
              <w:pStyle w:val="TableContents"/>
              <w:bidi w:val="0"/>
              <w:spacing w:before="0" w:after="283"/>
              <w:jc w:val="left"/>
              <w:rPr/>
            </w:pPr>
            <w:r>
              <w:rPr/>
              <w:t>2021 Stock Incentive Plan,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assisted in the preparation of a Registration Statement on Form S-8 (the “Registration Statement”) to be filed with the Securities and Exchange Commission (the “Commission”) under the Securities Act of 1933, as amended (the “Securities Act”), relating to an aggregate of 10,000,000 shares of common stock, $0.0001 par value per share (the “Shares”), of Ocular Therapeutix, Inc., a Delaware corporation (the “Company”), issuable under the Company’s 2021 Stock Incentive Plan, as amended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 and such other documents relating to the Company as we have deemed material for the purposes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that the appropriate action will be taken, prior to the offer and sale of the Shares in accordance with the Plan, to register and qualify the Shares for sale under all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herein as to the laws of any state or jurisdiction other than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and sale of the Shares while the Registration Statement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674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6067425" cy="428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239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32397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 Therapeutix,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4685"/>
        <w:gridCol w:w="75"/>
      </w:tblGrid>
      <w:tr>
        <w:trPr/>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Wilmer Cutler Pickering Hale and Dorr LLP</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1739d1_ex23-2.htm"/>
      <w:bookmarkStart w:id="6" w:name="kstm2621739d1_ex232"/>
      <w:bookmarkEnd w:id="5"/>
      <w:bookmarkEnd w:id="6"/>
      <w:r>
        <w:rPr/>
        <w:t> </w:t>
      </w:r>
      <w:r>
        <w:br w:type="page"/>
      </w:r>
    </w:p>
    <w:p>
      <w:pPr>
        <w:pStyle w:val="TextBody"/>
        <w:bidi w:val="0"/>
        <w:spacing w:before="0" w:after="0"/>
        <w:ind w:left="0" w:right="0" w:firstLine="9555"/>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Ocular Therapeutix, Inc. of our report dated February 5, 2026 relating to the financial statements and the effectiveness of internal control over financial reporting, which appears in Ocular Therapeutix,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2660"/>
        <w:gridCol w:w="75"/>
      </w:tblGrid>
      <w:tr>
        <w:trPr/>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21739d1_ex-filingfees.htm"/>
      <w:bookmarkStart w:id="8" w:name="kstm2621739d1_exfilingfees"/>
      <w:bookmarkStart w:id="9" w:name="tm2621739d1_ex-filingfees.htm"/>
      <w:bookmarkStart w:id="10" w:name="kstm2621739d1_exfilingfees"/>
      <w:bookmarkEnd w:id="9"/>
      <w:bookmarkEnd w:id="10"/>
      <w:r>
        <w:br w:type="page"/>
      </w:r>
    </w:p>
    <w:tbl>
      <w:tblPr>
        <w:tblW w:w="3830" w:type="dxa"/>
        <w:jc w:val="left"/>
        <w:tblInd w:w="0" w:type="dxa"/>
        <w:tblLayout w:type="fixed"/>
        <w:tblCellMar>
          <w:top w:w="28" w:type="dxa"/>
          <w:left w:w="28" w:type="dxa"/>
          <w:bottom w:w="28" w:type="dxa"/>
          <w:right w:w="28" w:type="dxa"/>
        </w:tblCellMar>
      </w:tblPr>
      <w:tblGrid>
        <w:gridCol w:w="3676"/>
        <w:gridCol w:w="154"/>
      </w:tblGrid>
      <w:tr>
        <w:trPr/>
        <w:tc>
          <w:tcPr>
            <w:tcW w:w="383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7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jc w:val="left"/>
              <w:rPr>
                <w:b/>
              </w:rPr>
            </w:pPr>
            <w:r>
              <w:rPr>
                <w:b/>
              </w:rPr>
              <w:t xml:space="preserve">OCULAR THERAPEUTIX,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10,000,000 </w:t>
            </w:r>
          </w:p>
        </w:tc>
        <w:tc>
          <w:tcPr>
            <w:tcW w:w="1213" w:type="dxa"/>
            <w:tcBorders/>
            <w:shd w:fill="E7E7E2" w:val="clear"/>
            <w:vAlign w:val="center"/>
          </w:tcPr>
          <w:p>
            <w:pPr>
              <w:pStyle w:val="TableContents"/>
              <w:bidi w:val="0"/>
              <w:spacing w:before="0" w:after="283"/>
              <w:jc w:val="right"/>
              <w:rPr/>
            </w:pPr>
            <w:r>
              <w:rPr/>
              <w:t xml:space="preserve">$ 8.40 </w:t>
            </w:r>
          </w:p>
        </w:tc>
        <w:tc>
          <w:tcPr>
            <w:tcW w:w="1701" w:type="dxa"/>
            <w:tcBorders/>
            <w:shd w:fill="E7E7E2" w:val="clear"/>
            <w:vAlign w:val="center"/>
          </w:tcPr>
          <w:p>
            <w:pPr>
              <w:pStyle w:val="TableContents"/>
              <w:bidi w:val="0"/>
              <w:spacing w:before="0" w:after="283"/>
              <w:jc w:val="right"/>
              <w:rPr/>
            </w:pPr>
            <w:r>
              <w:rPr/>
              <w:t xml:space="preserve">$ 84,000,000.00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$ 11,600.40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1" w:name="MaxAggtOfferingPrice"/>
            <w:bookmarkEnd w:id="11"/>
            <w:r>
              <w:rPr/>
              <w:t xml:space="preserve">$ 84,000,000.00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$ 11,600.40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$ 11,600.40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4"/>
        <w:gridCol w:w="8709"/>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The "Amount Registered" consists of 10,000,000 shares of common stock issuable under the 2021 Stock Incentive Plan, as amended. The "Proposed Maximum Offering Price Per Unit" and "Maximum Aggregate Offering Price" are estimated solely for the purpose of calculating the registration fee pursuant to Rules 457(c) and 457(h) of the Securities Act and are calculated on the basis of the average of the high and low sale prices of the registrant's common stock on the Nasdaq Global Market on July 30, 2026, in accordance with Rule 457(c) under the Securities Act.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3434/000110465921102215/tm2124370d1_s8.htm" TargetMode="External"/><Relationship Id="rId3" Type="http://schemas.openxmlformats.org/officeDocument/2006/relationships/hyperlink" Target="https://www.sec.gov/Archives/edgar/data/1393434/000110465922087276/tm2222734d1_s8.htm" TargetMode="External"/><Relationship Id="rId4" Type="http://schemas.openxmlformats.org/officeDocument/2006/relationships/hyperlink" Target="https://www.sec.gov/Archives/edgar/data/1393434/000110465923088373/tm2322862d1_s8.htm" TargetMode="External"/><Relationship Id="rId5" Type="http://schemas.openxmlformats.org/officeDocument/2006/relationships/hyperlink" Target="https://www.sec.gov/Archives/edgar/data/1393434/000110465924072266/tm2417399d1_s8.htm" TargetMode="External"/><Relationship Id="rId6" Type="http://schemas.openxmlformats.org/officeDocument/2006/relationships/hyperlink" Target="https://www.sec.gov/Archives/edgar/data/1393434/000110465925058528/tm2517563d1_s8.htm" TargetMode="External"/><Relationship Id="rId7" Type="http://schemas.openxmlformats.org/officeDocument/2006/relationships/hyperlink" Target="https://www.sec.gov/Archives/edgar/data/1393434/000110465925105919/ocul-20250930xex3d1.htm" TargetMode="External"/><Relationship Id="rId8" Type="http://schemas.openxmlformats.org/officeDocument/2006/relationships/hyperlink" Target="https://www.sec.gov/Archives/edgar/data/1393434/000110465925105919/ocul-20250930xex3d1.htm" TargetMode="External"/><Relationship Id="rId9" Type="http://schemas.openxmlformats.org/officeDocument/2006/relationships/hyperlink" Target="https://www.sec.gov/Archives/edgar/data/1393434/000119312514286966/d764831dex32.htm" TargetMode="External"/><Relationship Id="rId10" Type="http://schemas.openxmlformats.org/officeDocument/2006/relationships/hyperlink" Target="https://www.sec.gov/Archives/edgar/data/1393434/000119312514286966/d764831dex32.htm" TargetMode="External"/><Relationship Id="rId11" Type="http://schemas.openxmlformats.org/officeDocument/2006/relationships/hyperlink" Target="https://www.sec.gov/Archives/edgar/data/1393434/000110465924026324/tm246953d1_ex10-2.htm" TargetMode="External"/><Relationship Id="rId12" Type="http://schemas.openxmlformats.org/officeDocument/2006/relationships/hyperlink" Target="https://www.sec.gov/Archives/edgar/data/1393434/000110465924026324/tm246953d1_ex10-2.htm" TargetMode="External"/><Relationship Id="rId13" Type="http://schemas.openxmlformats.org/officeDocument/2006/relationships/hyperlink" Target="https://www.sec.gov/Archives/edgar/data/1393434/000110465926089450/ocul-20260630xex10d1.htm" TargetMode="External"/><Relationship Id="rId14" Type="http://schemas.openxmlformats.org/officeDocument/2006/relationships/hyperlink" Target="https://www.sec.gov/Archives/edgar/data/1393434/000110465926089450/ocul-20260630xex10d1.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1964</Words>
  <Characters>10439</Characters>
  <CharactersWithSpaces>12465</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